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78A08" w14:textId="5755EC9B" w:rsidR="007224D6" w:rsidRPr="007F4CC8" w:rsidRDefault="007224D6" w:rsidP="007224D6">
      <w:pPr>
        <w:pStyle w:val="Annexetitre"/>
        <w:spacing w:after="240"/>
      </w:pPr>
      <w:r>
        <w:t>PRILOG XXVIII</w:t>
      </w:r>
      <w:r w:rsidR="00A85970">
        <w:t>.</w:t>
      </w:r>
      <w:r>
        <w:t xml:space="preserve"> – Upute za objavu o izloženostima prema sekuritizacijskim pozicijama</w:t>
      </w:r>
    </w:p>
    <w:p w14:paraId="6F670D8D" w14:textId="77777777" w:rsidR="007224D6" w:rsidRPr="007F4CC8" w:rsidRDefault="007224D6" w:rsidP="007224D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Tablica EU SECA – Zahtjevi za objavu kvalitativnih informacija o sekuritizacijskim izloženostima. </w:t>
      </w:r>
      <w:r>
        <w:rPr>
          <w:rFonts w:ascii="Times New Roman" w:hAnsi="Times New Roman"/>
          <w:sz w:val="24"/>
        </w:rPr>
        <w:t>Polja za slobodni unos teksta za objavu kvalitativnih informacija</w:t>
      </w:r>
    </w:p>
    <w:p w14:paraId="5F7FC059" w14:textId="26D0159A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Institucije objavljuju informacije iz članka 449. točaka od (a) do (i) Uredbe (EU) br. 575/2013</w:t>
      </w:r>
      <w:r>
        <w:rPr>
          <w:rStyle w:val="FootnoteReference"/>
          <w:bCs/>
        </w:rPr>
        <w:footnoteReference w:id="1"/>
      </w:r>
      <w:r>
        <w:rPr>
          <w:rFonts w:ascii="Times New Roman" w:hAnsi="Times New Roman"/>
          <w:sz w:val="24"/>
        </w:rPr>
        <w:t xml:space="preserve"> („CRR”) prateći upute u nastavku ovog Priloga za popunjavanje tablice EU SECA iz Priloga XXVII. IT rješenjima EBA-e.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66177360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03065A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7224D6" w:rsidRPr="007F4CC8" w14:paraId="69D51BD7" w14:textId="77777777" w:rsidTr="004F3087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2CB20B0F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Referentni redak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55F087A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7224D6" w:rsidRPr="007F4CC8" w14:paraId="2D6B6641" w14:textId="77777777" w:rsidTr="004F3087">
        <w:trPr>
          <w:trHeight w:val="316"/>
        </w:trPr>
        <w:tc>
          <w:tcPr>
            <w:tcW w:w="1413" w:type="dxa"/>
          </w:tcPr>
          <w:p w14:paraId="2F99FA0C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(a)</w:t>
            </w:r>
          </w:p>
        </w:tc>
        <w:tc>
          <w:tcPr>
            <w:tcW w:w="7654" w:type="dxa"/>
          </w:tcPr>
          <w:p w14:paraId="411A6A4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Opis sekuritizacijskih i resekuritizacijskih aktivnosti; uključujući ciljeve upravljanja rizicima i ulaganja u vezi s tim aktivnostima, njihovu ulogu u sekuritizacijskim i resekuritizacijskim transakcijama, primjenjuju li okvir za jednostavnu, transparentnu i standardiziranu sekuritizaciju (STS) te u kojoj mjeri koriste sekuritizacijske transakcije za prijenos kreditnog rizika sekuritiziranih izloženosti na treće strane s, prema potrebi, zasebnim opisom politike prijenosa rizika sintetskih sekuritizacija, u skladu s člankom 449. točkom (a) CRR-a;</w:t>
            </w:r>
          </w:p>
        </w:tc>
      </w:tr>
      <w:tr w:rsidR="007224D6" w:rsidRPr="007F4CC8" w14:paraId="175022E5" w14:textId="77777777" w:rsidTr="004F3087">
        <w:trPr>
          <w:trHeight w:val="316"/>
        </w:trPr>
        <w:tc>
          <w:tcPr>
            <w:tcW w:w="1413" w:type="dxa"/>
          </w:tcPr>
          <w:p w14:paraId="0C3EA44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(b)</w:t>
            </w:r>
          </w:p>
        </w:tc>
        <w:tc>
          <w:tcPr>
            <w:tcW w:w="7654" w:type="dxa"/>
          </w:tcPr>
          <w:p w14:paraId="5A3026E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Vrste rizika kojima su institucije izložene u svojim sekuritizacijskim i resekuritizacijskim aktivnostima prema razini nadređenosti relevantnih sekuritizacijskih pozicija, uz navođenje razlike između STS pozicija i pozicija koje nisu STS te:</w:t>
            </w:r>
          </w:p>
          <w:p w14:paraId="04507AB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i. rizik koji je sadržan u transakcijama u kojima je inicijator sama institucija;</w:t>
            </w:r>
          </w:p>
          <w:p w14:paraId="1E8013A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ii. rizik koji nastaje u vezi sa transakcijama u kojima je inicijator treća strana,</w:t>
            </w:r>
          </w:p>
          <w:p w14:paraId="327D988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 skladu s člankom 449. točkom (b) CRR-a</w:t>
            </w:r>
          </w:p>
        </w:tc>
      </w:tr>
      <w:tr w:rsidR="007224D6" w:rsidRPr="007F4CC8" w14:paraId="0890559E" w14:textId="77777777" w:rsidTr="004F3087">
        <w:trPr>
          <w:trHeight w:val="316"/>
        </w:trPr>
        <w:tc>
          <w:tcPr>
            <w:tcW w:w="1413" w:type="dxa"/>
          </w:tcPr>
          <w:p w14:paraId="78576E1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(c)</w:t>
            </w:r>
          </w:p>
        </w:tc>
        <w:tc>
          <w:tcPr>
            <w:tcW w:w="7654" w:type="dxa"/>
          </w:tcPr>
          <w:p w14:paraId="4D27BD2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Pristupi institucija izračunu iznosa izloženosti ponderiranih rizikom koje primjenjuju za svoje sekuritizacijske aktivnosti, uključujući vrste sekuritizacijskih pozicija na koje se svaki pristup primjenjuje, s time da se razlikuju između STS pozicija i pozicija koje nisu STS, u skladu s člankom 449. točkom (c) CRR-a</w:t>
            </w:r>
          </w:p>
        </w:tc>
      </w:tr>
      <w:tr w:rsidR="007224D6" w:rsidRPr="007F4CC8" w14:paraId="287B5F71" w14:textId="77777777" w:rsidTr="004F3087">
        <w:trPr>
          <w:trHeight w:val="316"/>
        </w:trPr>
        <w:tc>
          <w:tcPr>
            <w:tcW w:w="1413" w:type="dxa"/>
          </w:tcPr>
          <w:p w14:paraId="243136B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(d)</w:t>
            </w:r>
          </w:p>
        </w:tc>
        <w:tc>
          <w:tcPr>
            <w:tcW w:w="7654" w:type="dxa"/>
          </w:tcPr>
          <w:p w14:paraId="0F0CB35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Popis SSPN-ova koji pripadaju bilo kojoj od sljedećih kategorija, s opisom vrsta izloženosti institucije tim SSPN-ovima, uključujući ugovore o izvedenicama:</w:t>
            </w:r>
          </w:p>
          <w:p w14:paraId="7548040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i. SSPN-ovi koji preuzimaju izloženosti koje su inicirale institucije;</w:t>
            </w:r>
          </w:p>
          <w:p w14:paraId="66CFD6C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ii. SSPN-ovi koje sponzoriraju institucije; </w:t>
            </w:r>
          </w:p>
          <w:p w14:paraId="4E6EDCA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iii. SSPN-ovi i drugi pravni subjekti kojima institucije pružaju usluge povezane sa sekuritizacijom, primjerice usluge savjetovanja, servisiranja imovine ili upravljanja imovinom; </w:t>
            </w:r>
          </w:p>
          <w:p w14:paraId="0E14603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iv. SSPN-ovi uključeni u opseg bonitetne konsolidacije institucije,</w:t>
            </w:r>
          </w:p>
          <w:p w14:paraId="3EBB09F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u skladu s člankom 449. točkom (d) CRR-a</w:t>
            </w:r>
          </w:p>
        </w:tc>
      </w:tr>
      <w:tr w:rsidR="007224D6" w:rsidRPr="007F4CC8" w14:paraId="5D90E1F3" w14:textId="77777777" w:rsidTr="004F3087">
        <w:trPr>
          <w:trHeight w:val="316"/>
        </w:trPr>
        <w:tc>
          <w:tcPr>
            <w:tcW w:w="1413" w:type="dxa"/>
          </w:tcPr>
          <w:p w14:paraId="200949C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(e)</w:t>
            </w:r>
          </w:p>
        </w:tc>
        <w:tc>
          <w:tcPr>
            <w:tcW w:w="7654" w:type="dxa"/>
          </w:tcPr>
          <w:p w14:paraId="1F60BF2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Popis svih pravnih subjekata u vezi s kojima su institucije objavile da su pružile potporu u skladu s dijelom trećim glavom II. poglavljem 5. člankom 449. točkom (e) CRR-a</w:t>
            </w:r>
          </w:p>
        </w:tc>
      </w:tr>
      <w:tr w:rsidR="007224D6" w:rsidRPr="007F4CC8" w14:paraId="677B55B3" w14:textId="77777777" w:rsidTr="004F3087">
        <w:trPr>
          <w:trHeight w:val="316"/>
        </w:trPr>
        <w:tc>
          <w:tcPr>
            <w:tcW w:w="1413" w:type="dxa"/>
          </w:tcPr>
          <w:p w14:paraId="1A39116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(f)</w:t>
            </w:r>
          </w:p>
        </w:tc>
        <w:tc>
          <w:tcPr>
            <w:tcW w:w="7654" w:type="dxa"/>
          </w:tcPr>
          <w:p w14:paraId="1A5C718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Popis pravnih subjekata povezanih s institucijama koji ulažu u sekuritizacije u kojima su institucije inicijator ili u sekuritizacijske pozicije koje izdaju SSPN-ovi koje sponzoriraju institucije, u skladu s člankom 449. točkom (f) CRR-a</w:t>
            </w:r>
          </w:p>
        </w:tc>
      </w:tr>
      <w:tr w:rsidR="007224D6" w:rsidRPr="007F4CC8" w14:paraId="4006BC7A" w14:textId="77777777" w:rsidTr="004F3087">
        <w:trPr>
          <w:trHeight w:val="316"/>
        </w:trPr>
        <w:tc>
          <w:tcPr>
            <w:tcW w:w="1413" w:type="dxa"/>
          </w:tcPr>
          <w:p w14:paraId="0193AD3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(g)</w:t>
            </w:r>
          </w:p>
        </w:tc>
        <w:tc>
          <w:tcPr>
            <w:tcW w:w="7654" w:type="dxa"/>
          </w:tcPr>
          <w:p w14:paraId="1967D94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Sažetak računovodstvenih politika za sekuritizacijske aktivnosti, uključujući prema potrebi razlikovanje sekuritizacijskih i resekuritizacijskih pozicija, u skladu s člankom 449. točkom (g) CRR-a</w:t>
            </w:r>
          </w:p>
        </w:tc>
      </w:tr>
      <w:tr w:rsidR="007224D6" w:rsidRPr="007F4CC8" w14:paraId="5039A0B3" w14:textId="77777777" w:rsidTr="004F3087">
        <w:trPr>
          <w:trHeight w:val="316"/>
        </w:trPr>
        <w:tc>
          <w:tcPr>
            <w:tcW w:w="1413" w:type="dxa"/>
          </w:tcPr>
          <w:p w14:paraId="5D79713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(h)</w:t>
            </w:r>
          </w:p>
        </w:tc>
        <w:tc>
          <w:tcPr>
            <w:tcW w:w="7654" w:type="dxa"/>
          </w:tcPr>
          <w:p w14:paraId="16F8574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Nazivi VIPKR-ova koji se koriste za sekuritizacije i vrste izloženosti za koje se koristi svaka pojedinačna agencija, u skladu s člankom 449. točkom (h) CRR-a</w:t>
            </w:r>
          </w:p>
        </w:tc>
      </w:tr>
      <w:tr w:rsidR="007224D6" w:rsidRPr="007F4CC8" w14:paraId="4D6836FD" w14:textId="77777777" w:rsidTr="004F3087">
        <w:trPr>
          <w:trHeight w:val="316"/>
        </w:trPr>
        <w:tc>
          <w:tcPr>
            <w:tcW w:w="1413" w:type="dxa"/>
          </w:tcPr>
          <w:p w14:paraId="4DD6E5A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(i)</w:t>
            </w:r>
          </w:p>
        </w:tc>
        <w:tc>
          <w:tcPr>
            <w:tcW w:w="7654" w:type="dxa"/>
          </w:tcPr>
          <w:p w14:paraId="4835A78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Ako je primjenjivo, opis pristupa interne procjene iz dijela trećeg glave II. poglavlja 5. CRR-a, uključujući strukturu postupka interne procjene te odnos između interne procjene i vanjskog rejtinga relevantnog VIPKR-a objavljenog u skladu s točkom (h), nadzorne mehanizme za postupak interne procjene, uključujući opis neovisnosti, odgovornosti i provjeru postupka interne procjene, vrste izloženosti na koje se primjenjuje postupak interne procjene te faktore stresa koji se koriste za određivanje razina kreditnog poboljšanja, u skladu s člankom 449. točkom (i) CRR-a.</w:t>
            </w:r>
          </w:p>
        </w:tc>
      </w:tr>
    </w:tbl>
    <w:p w14:paraId="32125F0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05D55915" w14:textId="7D308B4F" w:rsidR="007224D6" w:rsidRPr="007F4CC8" w:rsidRDefault="007224D6" w:rsidP="007224D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EU-SEC1 – Sekuritizacijske izloženosti u knjizi pozicija kojima se ne trguje</w:t>
      </w:r>
      <w:r w:rsidR="00A85970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Fiksan format.</w:t>
      </w:r>
    </w:p>
    <w:p w14:paraId="64C7288F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Institucije objavljuju informacije iz članka 449. točke (j) CRR-a prateći upute u nastavku ovog Priloga za popunjavanje obrasca EU SEC1 iz Priloga XXVII. ovoj Provedbenoj uredbi. U opisu koji prilažu uz obrazac institucije objašnjavaju imaju li u okviru svojih tradicionalnih sekuritizacija programe ABCP i, ako imaju, obujam transakcija ABCP.</w:t>
      </w:r>
    </w:p>
    <w:p w14:paraId="476BDD0D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3A480B20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0C132B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7224D6" w:rsidRPr="007F4CC8" w14:paraId="3CC3ED74" w14:textId="77777777" w:rsidTr="004F3087">
        <w:trPr>
          <w:trHeight w:val="238"/>
        </w:trPr>
        <w:tc>
          <w:tcPr>
            <w:tcW w:w="1413" w:type="dxa"/>
            <w:shd w:val="clear" w:color="auto" w:fill="D9D9D9" w:themeFill="background1" w:themeFillShade="D9"/>
          </w:tcPr>
          <w:p w14:paraId="78DF8E6F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Referenca stupca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336820ED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7224D6" w:rsidRPr="007F4CC8" w14:paraId="5E88CCC6" w14:textId="77777777" w:rsidTr="004F3087">
        <w:trPr>
          <w:trHeight w:val="316"/>
        </w:trPr>
        <w:tc>
          <w:tcPr>
            <w:tcW w:w="1413" w:type="dxa"/>
          </w:tcPr>
          <w:p w14:paraId="43794E5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– g</w:t>
            </w:r>
          </w:p>
        </w:tc>
        <w:tc>
          <w:tcPr>
            <w:tcW w:w="7654" w:type="dxa"/>
          </w:tcPr>
          <w:p w14:paraId="1FBE1E5E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Institucija djeluje kao inicijator </w:t>
            </w:r>
          </w:p>
          <w:p w14:paraId="5B9FC4A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Ako „institucija djeluje kao incijator”, kako je definirano u članku 4. stavku 1. točki 13. CRR-a, sekuritizacijske izloženosti su zadržane pozicije, čak i ako nisu prihvatljive za sekuritizacijski okvir zbog nedostatka prijenosa značajnog rizika. Sekuritizacijske izloženosti u transakcijama koje su ostvarile prijenos značajnog rizika prikazuju se zasebno.</w:t>
            </w:r>
          </w:p>
          <w:p w14:paraId="1B491A7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Institucije inicijatori objavljuju knjigovodstvenu vrijednost na datum objave svih trenutačnih sekuritiziranih izloženosti koje drže u sekuritizacijskim </w:t>
            </w:r>
            <w:r>
              <w:rPr>
                <w:rFonts w:ascii="Times New Roman" w:hAnsi="Times New Roman"/>
                <w:sz w:val="24"/>
              </w:rPr>
              <w:lastRenderedPageBreak/>
              <w:t>transakcijama koje su inicirali. Kao takve, objavljuju se bilančne sekuritizacijske izloženosti (npr. obveznice, podređeni krediti) te izvanbilančne sekuritizacijske izloženosti i izvedenice (npr. podređene kreditne linije, likvidnosne linije, kamatni ugovori o razmjeni, ugovori o razmjeni na osnovi nastanka statusa neispunjavanja obveza itd.) u tim sekuritizacijama.</w:t>
            </w:r>
          </w:p>
        </w:tc>
      </w:tr>
      <w:tr w:rsidR="007224D6" w:rsidRPr="007F4CC8" w14:paraId="35041A46" w14:textId="77777777" w:rsidTr="004F3087">
        <w:trPr>
          <w:trHeight w:val="316"/>
        </w:trPr>
        <w:tc>
          <w:tcPr>
            <w:tcW w:w="1413" w:type="dxa"/>
          </w:tcPr>
          <w:p w14:paraId="4124B2B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h – k</w:t>
            </w:r>
          </w:p>
        </w:tc>
        <w:tc>
          <w:tcPr>
            <w:tcW w:w="7654" w:type="dxa"/>
          </w:tcPr>
          <w:p w14:paraId="37E8770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Institucija djeluje kao sponzor </w:t>
            </w:r>
          </w:p>
          <w:p w14:paraId="6C2A7CD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Ako „institucija djeluje kao sponzor” (kako je definirano u članku 4. stavku 1. točki 14. CRR-a) sekuritizacijske izloženosti uključuju izloženosti prema jedinicama iz programa ABCP kojima institucija na razini programa pruža kreditna poboljšanja, likvidnosne i druge linije. Ako institucija djeluje kao inicijator i kao sponzor, izbjegava dvostruko obračunavanje. S tim u vezi institucije mogu spojiti dva stupca „institucija djeluje kao inicijator” i „institucija djeluje kao sponzor” i koristiti stupce „institucija djeluje kao inicijator/sponzor”.</w:t>
            </w:r>
          </w:p>
        </w:tc>
      </w:tr>
      <w:tr w:rsidR="007224D6" w:rsidRPr="007F4CC8" w14:paraId="0EFB5D6C" w14:textId="77777777" w:rsidTr="004F3087">
        <w:trPr>
          <w:trHeight w:val="316"/>
        </w:trPr>
        <w:tc>
          <w:tcPr>
            <w:tcW w:w="1413" w:type="dxa"/>
          </w:tcPr>
          <w:p w14:paraId="7970C51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 – o</w:t>
            </w:r>
          </w:p>
        </w:tc>
        <w:tc>
          <w:tcPr>
            <w:tcW w:w="7654" w:type="dxa"/>
          </w:tcPr>
          <w:p w14:paraId="764534F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Institucija djeluje kao ulagatelj </w:t>
            </w:r>
          </w:p>
          <w:p w14:paraId="580E5B5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Ako „institucija djeluje kao ulagatelj” sekuritizacijske izloženosti ulagateljske su pozicije kupljene u poslovima s trećim osobama.</w:t>
            </w:r>
          </w:p>
          <w:p w14:paraId="39D2466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CRR-om nije predviđena izričita definicija ulagatelja. Stoga se u ovom kontekstu podrazumijeva institucijom koja drži sekuritizacijsku poziciju u sekuritizacijskoj transakciji u kojoj nije ni inicijator ni sponzor. </w:t>
            </w:r>
          </w:p>
          <w:p w14:paraId="52E3FA0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Ako je skup sekuritiziranih izloženosti kombinacija vrsta sekuritizacijskih pozicija, institucija navodi najvažniju vrstu.</w:t>
            </w:r>
          </w:p>
        </w:tc>
      </w:tr>
      <w:tr w:rsidR="007224D6" w:rsidRPr="007F4CC8" w14:paraId="777E170D" w14:textId="77777777" w:rsidTr="004F3087">
        <w:trPr>
          <w:trHeight w:val="316"/>
        </w:trPr>
        <w:tc>
          <w:tcPr>
            <w:tcW w:w="1413" w:type="dxa"/>
          </w:tcPr>
          <w:p w14:paraId="5C3BB64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– d; h, i, l, m</w:t>
            </w:r>
          </w:p>
        </w:tc>
        <w:tc>
          <w:tcPr>
            <w:tcW w:w="7654" w:type="dxa"/>
          </w:tcPr>
          <w:p w14:paraId="79CC848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Tradicionalne transakcije </w:t>
            </w:r>
          </w:p>
          <w:p w14:paraId="36060F5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 skladu s člankom 242. točkom 13. CRR-a, u vezi s člankom 2. točkom 9. Uredbe (EU) 2017/2402</w:t>
            </w:r>
            <w:r>
              <w:rPr>
                <w:rStyle w:val="FootnoteReference"/>
                <w:rFonts w:eastAsia="Times New Roman" w:cs="Times New Roman"/>
                <w:iCs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>, „tradicionalna sekuritizacija” znači sekuritizacija kojom se obuhvaća prijenos ekonomskih udjela u izloženosti koje se sekuritiziraju. To se postiže prijenosom vlasništva nad sekuritiziranim izloženostima s institucije inicijatora na SSPN ili podsudjelovanjem SSPN-a. Izdani vrijednosni papiri ne predstavljaju obvezu plaćanja institucije inicijatora.</w:t>
            </w:r>
          </w:p>
          <w:p w14:paraId="2187F2E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 slučaju tradicionalnih sekuritizacija kada inicijator ne drži nijednu poziciju, inicijator ne uzima u obzir tu sekuritizaciju u objavi iz ovog obrasca. </w:t>
            </w:r>
          </w:p>
        </w:tc>
      </w:tr>
      <w:tr w:rsidR="007224D6" w:rsidRPr="007F4CC8" w14:paraId="0E0CAC17" w14:textId="77777777" w:rsidTr="004F3087">
        <w:trPr>
          <w:trHeight w:val="316"/>
        </w:trPr>
        <w:tc>
          <w:tcPr>
            <w:tcW w:w="1413" w:type="dxa"/>
          </w:tcPr>
          <w:p w14:paraId="3B47421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e, f, j, n</w:t>
            </w:r>
          </w:p>
        </w:tc>
        <w:tc>
          <w:tcPr>
            <w:tcW w:w="7654" w:type="dxa"/>
          </w:tcPr>
          <w:p w14:paraId="37BF234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Sintetske transakcije </w:t>
            </w:r>
          </w:p>
          <w:p w14:paraId="3AB93A1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 skladu s člankom 242. točkom 14. CRR-a, u vezi s člankom 2. točkom 10. Uredbe (EU) 2017/2402, „sintetska sekuritizacija” znači sekuritizacija u kojoj se prijenos rizika postiže uporabom kreditnih izvedenica ili jamstava, a izloženosti koje se sekuritiziraju ostaju izloženosti institucije inicijatora.</w:t>
            </w:r>
          </w:p>
          <w:p w14:paraId="6EF6D31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Ako je institucija kupila zaštitu, iznose neto izloženosti kojima je izložena i na koje se ne primjenjuje kupljena zaštita (tj. iznos koji nije osiguran) objavljuje u stupcima inicijator/sponzor iz ovog obrasca. Ako je institucija prodala zaštitu, iznos izloženosti kreditne zaštite objavljuje se u stupcu „ulagatelj” iz ovog obrasca. </w:t>
            </w:r>
          </w:p>
        </w:tc>
      </w:tr>
      <w:tr w:rsidR="007224D6" w:rsidRPr="007F4CC8" w14:paraId="725A37BE" w14:textId="77777777" w:rsidTr="004F3087">
        <w:trPr>
          <w:trHeight w:val="316"/>
        </w:trPr>
        <w:tc>
          <w:tcPr>
            <w:tcW w:w="1413" w:type="dxa"/>
          </w:tcPr>
          <w:p w14:paraId="1732B1B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a, b, h, l,</w:t>
            </w:r>
          </w:p>
        </w:tc>
        <w:tc>
          <w:tcPr>
            <w:tcW w:w="7654" w:type="dxa"/>
          </w:tcPr>
          <w:p w14:paraId="0ED89EA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STS izloženost </w:t>
            </w:r>
          </w:p>
          <w:p w14:paraId="274A8EE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iznos STS sekuritizacijskih pozicija u skladu s kriterijima iz članaka od 18. do 26. Uredbe (EU) 2017/2402.</w:t>
            </w:r>
          </w:p>
        </w:tc>
      </w:tr>
      <w:tr w:rsidR="007224D6" w:rsidRPr="007F4CC8" w14:paraId="7FC9CC77" w14:textId="77777777" w:rsidTr="004F3087">
        <w:trPr>
          <w:trHeight w:val="316"/>
        </w:trPr>
        <w:tc>
          <w:tcPr>
            <w:tcW w:w="1413" w:type="dxa"/>
          </w:tcPr>
          <w:p w14:paraId="0A197AD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b, d, f</w:t>
            </w:r>
          </w:p>
        </w:tc>
        <w:tc>
          <w:tcPr>
            <w:tcW w:w="7654" w:type="dxa"/>
          </w:tcPr>
          <w:p w14:paraId="0E899B7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SRT izloženost </w:t>
            </w:r>
          </w:p>
          <w:p w14:paraId="501CE6A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iznos sekuritizacijskih izloženosti za koje je institucija inicijator ostvarila prijenos značajnog rizika (SRT) u skladu s člankom 244. (tradicionalna sekuritizacija) i članka 245. (sintetska sekuritizacija) CRR-a.</w:t>
            </w:r>
          </w:p>
        </w:tc>
      </w:tr>
    </w:tbl>
    <w:p w14:paraId="7BB5E0B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0B7AFDD7" w14:textId="77777777" w:rsidR="007224D6" w:rsidRPr="007F4CC8" w:rsidRDefault="007224D6" w:rsidP="007224D6">
      <w:pPr>
        <w:rPr>
          <w:rFonts w:ascii="Times New Roman" w:hAnsi="Times New Roman" w:cs="Times New Roman"/>
          <w:sz w:val="24"/>
          <w:highlight w:val="yellow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7224D6" w:rsidRPr="007F4CC8" w14:paraId="385FAD6C" w14:textId="77777777" w:rsidTr="004F3087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68D27D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7224D6" w:rsidRPr="007F4CC8" w14:paraId="46FA4103" w14:textId="77777777" w:rsidTr="004F3087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98CE1E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CC404D5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7224D6" w:rsidRPr="007F4CC8" w14:paraId="5AA33C1E" w14:textId="77777777" w:rsidTr="004F3087">
        <w:trPr>
          <w:trHeight w:val="2195"/>
        </w:trPr>
        <w:tc>
          <w:tcPr>
            <w:tcW w:w="1384" w:type="dxa"/>
          </w:tcPr>
          <w:p w14:paraId="099CDD92" w14:textId="77777777" w:rsidR="007224D6" w:rsidRPr="007F4CC8" w:rsidRDefault="007224D6" w:rsidP="004F3087">
            <w:pPr>
              <w:pStyle w:val="Applicationdirecte"/>
              <w:spacing w:before="120"/>
              <w:jc w:val="center"/>
              <w:rPr>
                <w:highlight w:val="yellow"/>
              </w:rPr>
            </w:pPr>
            <w:r>
              <w:t>06, 12</w:t>
            </w:r>
          </w:p>
        </w:tc>
        <w:tc>
          <w:tcPr>
            <w:tcW w:w="7655" w:type="dxa"/>
          </w:tcPr>
          <w:p w14:paraId="61ECD678" w14:textId="77777777" w:rsidR="007224D6" w:rsidRPr="007F4CC8" w:rsidRDefault="007224D6" w:rsidP="004F308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Resekuritizacije</w:t>
            </w:r>
          </w:p>
          <w:p w14:paraId="55ECAEC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iznos preostalih resekuritizacijskih pozicija kako su definirane u članku 4. stavku 1. točkama 63. i 64. CRR-a.</w:t>
            </w:r>
          </w:p>
          <w:p w14:paraId="73FA0BCA" w14:textId="77777777" w:rsidR="007224D6" w:rsidRPr="007F4CC8" w:rsidRDefault="007224D6" w:rsidP="004F3087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Sve sekuritizacijske izloženosti povezane s resekuritizacijom popunjavaju se u redcima „resekuritizacija”, a ne u prethodnim redcima (po vrsti odnosne imovine) koji sadržavaju samo sekuritizacijske izloženosti koje nisu resekuritizacije.</w:t>
            </w:r>
          </w:p>
        </w:tc>
      </w:tr>
    </w:tbl>
    <w:p w14:paraId="43462EE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68326B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20722F67" w14:textId="4A5D512E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Obrazac EU SEC2 – Sekuritizacijske izloženosti u knjizi trgovanja</w:t>
      </w:r>
      <w:r w:rsidR="00A85970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Fiksan format.</w:t>
      </w:r>
    </w:p>
    <w:p w14:paraId="579136F1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Institucije objavljuju informacije iz članka 449. točke (j) CRR-a prateći upute u nastavku ovog Priloga za popunjavanje obrasca EU SEC2 iz Priloga XXVII. ovoj Provedbenoj uredbi.</w:t>
      </w:r>
    </w:p>
    <w:p w14:paraId="78F5A20D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Institucije se upućuju na upute za obrazac EU SEC1 – Sekuritizacijske izloženosti u knjizi kojom se ne trguje.</w:t>
      </w:r>
    </w:p>
    <w:p w14:paraId="0256B92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540993FC" w14:textId="790038BC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Obrazac EU SEC3 – Sekuritizacijske izloženosti u knjizi pozicija kojima se ne trguje i povezani regulatorni kapitalni zahtjevi – institucija djeluje kao inicijator ili sponzor</w:t>
      </w:r>
      <w:r w:rsidR="00A85970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Fiksan format.</w:t>
      </w:r>
    </w:p>
    <w:p w14:paraId="0E7F18B2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Institucije objavljuju informacije iz članka 449. točke (k) podtočke i. CRR-a prateći upute u nastavku ovog Priloga za popunjavanje obrasca EU SEC3 iz Priloga XXVII. ovoj Provedbenoj uredbi. </w:t>
      </w:r>
    </w:p>
    <w:p w14:paraId="3CE32F9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57E88CEA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A5A645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7224D6" w:rsidRPr="007F4CC8" w14:paraId="6F605FD4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0F72E3E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Referenca stupca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459E9253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7224D6" w:rsidRPr="007F4CC8" w14:paraId="35C8FF5E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5F49348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 do d</w:t>
            </w:r>
          </w:p>
        </w:tc>
        <w:tc>
          <w:tcPr>
            <w:tcW w:w="7654" w:type="dxa"/>
            <w:shd w:val="clear" w:color="auto" w:fill="auto"/>
          </w:tcPr>
          <w:p w14:paraId="1670600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Vrijednosti izloženosti (prema rasponima pondera rizika/odbicima)</w:t>
            </w:r>
          </w:p>
          <w:p w14:paraId="7020CF9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Vrijednosti koje se objavljuju u stupcima od (a) do (d) ovog obrasca u vezi s regulatornim ponderima utvrđuju se u skladu s dijelom trećim glavom II. poglavljem 5. CRR-a.</w:t>
            </w:r>
          </w:p>
        </w:tc>
      </w:tr>
      <w:tr w:rsidR="007224D6" w:rsidRPr="007F4CC8" w14:paraId="426E0B6D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7AF98A7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do h</w:t>
            </w:r>
          </w:p>
        </w:tc>
        <w:tc>
          <w:tcPr>
            <w:tcW w:w="7654" w:type="dxa"/>
            <w:shd w:val="clear" w:color="auto" w:fill="auto"/>
          </w:tcPr>
          <w:p w14:paraId="5241145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Vrijednosti izloženosti (prema regulatornom pristupu)</w:t>
            </w:r>
          </w:p>
          <w:p w14:paraId="25B596FC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Stupci od (f) do (h) ovog obrasca odgovaraju regulatornom pristupu koji se koristi u skladu s hijerarhijom pristupa iz članka 254. CRR-a.</w:t>
            </w:r>
          </w:p>
        </w:tc>
      </w:tr>
      <w:tr w:rsidR="007224D6" w:rsidRPr="007F4CC8" w14:paraId="0B4A4DEE" w14:textId="77777777" w:rsidTr="004F3087">
        <w:tblPrEx>
          <w:tblLook w:val="04A0" w:firstRow="1" w:lastRow="0" w:firstColumn="1" w:lastColumn="0" w:noHBand="0" w:noVBand="1"/>
        </w:tblPrEx>
        <w:trPr>
          <w:trHeight w:val="74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323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j, k, 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09E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RWEA (prema regulatornom pristupu)</w:t>
            </w:r>
          </w:p>
          <w:p w14:paraId="1FD3615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izloženosti ponderiran rizikom (RWEA) prema regulatornom pristupu u skladu s dijelom trećim glavom II. poglavljem 5. CRR-a prije primjene gornje granice.</w:t>
            </w:r>
          </w:p>
        </w:tc>
      </w:tr>
      <w:tr w:rsidR="007224D6" w:rsidRPr="007F4CC8" w14:paraId="598552BF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C9C5896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do EU-p</w:t>
            </w:r>
          </w:p>
        </w:tc>
        <w:tc>
          <w:tcPr>
            <w:tcW w:w="7654" w:type="dxa"/>
            <w:shd w:val="clear" w:color="auto" w:fill="auto"/>
          </w:tcPr>
          <w:p w14:paraId="54FF440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Kapitalni zahtjev nakon primjene gornje granice</w:t>
            </w:r>
          </w:p>
          <w:p w14:paraId="5FE118E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Ovi stupci odnose se na kapitalni zahtjev nakon primjene gornje granice u skladu s člancima 267. i 268. CRR-a.</w:t>
            </w:r>
          </w:p>
        </w:tc>
      </w:tr>
      <w:tr w:rsidR="007224D6" w:rsidRPr="007F4CC8" w14:paraId="13491AE9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6AC45AC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e, i, m, EU-q</w:t>
            </w:r>
          </w:p>
        </w:tc>
        <w:tc>
          <w:tcPr>
            <w:tcW w:w="7654" w:type="dxa"/>
            <w:shd w:val="clear" w:color="auto" w:fill="auto"/>
          </w:tcPr>
          <w:p w14:paraId="09DA712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Ponder rizika 1 250 % / odbici</w:t>
            </w:r>
          </w:p>
          <w:p w14:paraId="1C33091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Stupci se odnose na stavke:</w:t>
            </w:r>
          </w:p>
          <w:p w14:paraId="6CF03B66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Primjenjuje se ponder rizika od 1250 % ili se odbija u skladu s dijelom trećim glavom II. poglavljem 5. CRR-a;</w:t>
            </w:r>
          </w:p>
          <w:p w14:paraId="5723B0EA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primjenjuje se ponder rizika od 1 250 % ili se odbija u skladu s člankom 244. stavkom 1. točkom (b) i člankom 245. stavkom 1. točkom (b) CRR-a;</w:t>
            </w:r>
          </w:p>
          <w:p w14:paraId="0F46DA67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primjenjuje se ponder rizika od 1 250 % u skladu s člankom 254. stavkom 7. CRR-a;</w:t>
            </w:r>
          </w:p>
          <w:p w14:paraId="2C354948" w14:textId="77777777" w:rsidR="007224D6" w:rsidRPr="007F4CC8" w:rsidRDefault="007224D6" w:rsidP="007224D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ili se odbija u skladu s člankom 253. CRR-a. </w:t>
            </w:r>
          </w:p>
        </w:tc>
      </w:tr>
    </w:tbl>
    <w:p w14:paraId="769A289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13153CA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77D21661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C45A89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7224D6" w:rsidRPr="007F4CC8" w14:paraId="4037F505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51B1748F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Broj retka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1FD16C64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7224D6" w:rsidRPr="007F4CC8" w14:paraId="6DE32E56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DBF9F9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14:paraId="7B5AA82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Ukupne izloženosti </w:t>
            </w:r>
          </w:p>
          <w:p w14:paraId="5FF24F9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Ukupne izloženosti odnose se na ukupni iznos sekuritizacijskih i resekuritizacijskih pozicija koje drži institucija koja djeluje kao inicijator ili sponzor. U ovom retku sažimaju se informacije o tradicionalnoj i sintetskoj sekuritizaciji koje inicijatori i sponzori objavljuju u sljedećim redcima.</w:t>
            </w:r>
          </w:p>
        </w:tc>
      </w:tr>
      <w:tr w:rsidR="007224D6" w:rsidRPr="007F4CC8" w14:paraId="0499F544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F75901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14:paraId="1C252C6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Tradicionalne transakcije </w:t>
            </w:r>
          </w:p>
          <w:p w14:paraId="59253CCA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Vidjeti objašnjenje za obrazac EU SEC1.</w:t>
            </w:r>
          </w:p>
        </w:tc>
      </w:tr>
      <w:tr w:rsidR="007224D6" w:rsidRPr="007F4CC8" w14:paraId="237202AE" w14:textId="77777777" w:rsidTr="004F3087">
        <w:trPr>
          <w:trHeight w:val="316"/>
        </w:trPr>
        <w:tc>
          <w:tcPr>
            <w:tcW w:w="1413" w:type="dxa"/>
          </w:tcPr>
          <w:p w14:paraId="2162EA0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3, 10</w:t>
            </w:r>
          </w:p>
        </w:tc>
        <w:tc>
          <w:tcPr>
            <w:tcW w:w="7654" w:type="dxa"/>
          </w:tcPr>
          <w:p w14:paraId="6AB9BEF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Sekuritizacija </w:t>
            </w:r>
          </w:p>
          <w:p w14:paraId="72E056E2" w14:textId="77777777" w:rsidR="007224D6" w:rsidRPr="007F4CC8" w:rsidRDefault="007224D6" w:rsidP="004F308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Ukupni iznos preostalih sekuritizacijskih pozicija, kako su definirane u članku 4. stavku 1. točki 62. CRR-a, koje nisu resekuritizacijske pozicije kako su definirane u članku 4. stavku 1. točki 64. CRR-a.</w:t>
            </w:r>
          </w:p>
        </w:tc>
      </w:tr>
      <w:tr w:rsidR="007224D6" w:rsidRPr="007F4CC8" w14:paraId="230D6463" w14:textId="77777777" w:rsidTr="004F3087">
        <w:trPr>
          <w:trHeight w:val="316"/>
        </w:trPr>
        <w:tc>
          <w:tcPr>
            <w:tcW w:w="1413" w:type="dxa"/>
          </w:tcPr>
          <w:p w14:paraId="67DD9A4F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5, 7</w:t>
            </w:r>
          </w:p>
        </w:tc>
        <w:tc>
          <w:tcPr>
            <w:tcW w:w="7654" w:type="dxa"/>
          </w:tcPr>
          <w:p w14:paraId="3B75C561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STS pozicije </w:t>
            </w:r>
          </w:p>
          <w:p w14:paraId="3021FDAB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Vidjeti objašnjenje za obrazac EU SEC1.</w:t>
            </w:r>
          </w:p>
        </w:tc>
      </w:tr>
      <w:tr w:rsidR="007224D6" w:rsidRPr="007F4CC8" w14:paraId="08C30F8C" w14:textId="77777777" w:rsidTr="004F3087">
        <w:trPr>
          <w:trHeight w:val="316"/>
        </w:trPr>
        <w:tc>
          <w:tcPr>
            <w:tcW w:w="1413" w:type="dxa"/>
          </w:tcPr>
          <w:p w14:paraId="53D0E69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8, 13</w:t>
            </w:r>
          </w:p>
        </w:tc>
        <w:tc>
          <w:tcPr>
            <w:tcW w:w="7654" w:type="dxa"/>
          </w:tcPr>
          <w:p w14:paraId="102AB9F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Resekuritizacije</w:t>
            </w:r>
          </w:p>
          <w:p w14:paraId="522C4E4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Vidjeti objašnjenje za obrazac EU SEC1.</w:t>
            </w:r>
          </w:p>
        </w:tc>
      </w:tr>
      <w:tr w:rsidR="007224D6" w:rsidRPr="007F4CC8" w14:paraId="45609F4B" w14:textId="77777777" w:rsidTr="004F3087">
        <w:trPr>
          <w:trHeight w:val="316"/>
        </w:trPr>
        <w:tc>
          <w:tcPr>
            <w:tcW w:w="1413" w:type="dxa"/>
          </w:tcPr>
          <w:p w14:paraId="3E3831F8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654" w:type="dxa"/>
          </w:tcPr>
          <w:p w14:paraId="0CE1D53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Sintetske transakcije</w:t>
            </w:r>
          </w:p>
          <w:p w14:paraId="4EBD0B2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Vidjeti objašnjenje za obrazac EU SEC1.</w:t>
            </w:r>
          </w:p>
        </w:tc>
      </w:tr>
    </w:tbl>
    <w:p w14:paraId="26CBE3D4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6EFFED9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7010CBEE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Obrazac EU SEC4 – Sekuritizacijske izloženosti u knjizi pozicija kojima se ne trguje i povezani regulatorni kapitalni zahtjevi – institucija djeluje kao ulagatelj. </w:t>
      </w:r>
      <w:r>
        <w:rPr>
          <w:rFonts w:ascii="Times New Roman" w:hAnsi="Times New Roman"/>
          <w:sz w:val="24"/>
        </w:rPr>
        <w:t>Fiksan format.</w:t>
      </w:r>
    </w:p>
    <w:p w14:paraId="4F6C6877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Institucije objavljuju informacije iz članka 449. točke (k) podtočke ii. CRR-a prateći upute u nastavku ovog Priloga za popunjavanje obrasca EU SEC4 iz Priloga XXVII. ovoj Provedbenoj uredbi.</w:t>
      </w:r>
    </w:p>
    <w:p w14:paraId="0CF07294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Institucije se upućuju na upute za obrazac EU SEC3 – Sekuritizacijske izloženosti u knjizi pozicija kojima se ne trguje i povezani regulatorni kapitalni zahtjevi – institucija djeluje kao inicijator ili sponzor.</w:t>
      </w:r>
    </w:p>
    <w:p w14:paraId="7F6846F8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5E778291" w14:textId="355F6C23" w:rsidR="007224D6" w:rsidRPr="007F4CC8" w:rsidRDefault="007224D6" w:rsidP="007224D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Obrazac EU SEC5 – Izloženosti koje je sekuritizirala institucija – Izloženosti sa statusom neispunjavanja obveza i specifični ispravci vrijednosti za kreditni rizik</w:t>
      </w:r>
      <w:r w:rsidR="00194BB2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Fiksan format.</w:t>
      </w:r>
    </w:p>
    <w:p w14:paraId="29D8D2DD" w14:textId="77777777" w:rsidR="007224D6" w:rsidRPr="007F4CC8" w:rsidRDefault="007224D6" w:rsidP="007224D6">
      <w:pPr>
        <w:pStyle w:val="ListParagraph"/>
        <w:numPr>
          <w:ilvl w:val="0"/>
          <w:numId w:val="2"/>
        </w:numPr>
        <w:spacing w:before="120" w:after="120"/>
        <w:ind w:left="432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Institucije objavljuju informacije iz članka 449. točke (l) CRR-a po vrsti sekuritizacijske izloženosti, prateći upute u nastavku ovog Priloga za popunjavanje obrasca EU SEC5 iz Priloga XXVII. ovoj Provedbenoj uredbi.</w:t>
      </w:r>
    </w:p>
    <w:p w14:paraId="7E1E281F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7224D6" w:rsidRPr="007F4CC8" w14:paraId="2ED69004" w14:textId="77777777" w:rsidTr="004F3087">
        <w:trPr>
          <w:trHeight w:val="90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F6242C" w14:textId="77777777" w:rsidR="007224D6" w:rsidRPr="007F4CC8" w:rsidRDefault="007224D6" w:rsidP="004F30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osnova i upute</w:t>
            </w:r>
          </w:p>
        </w:tc>
      </w:tr>
      <w:tr w:rsidR="007224D6" w:rsidRPr="007F4CC8" w14:paraId="4A5E4C5F" w14:textId="77777777" w:rsidTr="004F3087">
        <w:trPr>
          <w:trHeight w:val="741"/>
        </w:trPr>
        <w:tc>
          <w:tcPr>
            <w:tcW w:w="1413" w:type="dxa"/>
            <w:shd w:val="clear" w:color="auto" w:fill="D9D9D9" w:themeFill="background1" w:themeFillShade="D9"/>
          </w:tcPr>
          <w:p w14:paraId="785FAFBC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Referenca stupca</w:t>
            </w:r>
          </w:p>
        </w:tc>
        <w:tc>
          <w:tcPr>
            <w:tcW w:w="7654" w:type="dxa"/>
            <w:shd w:val="clear" w:color="auto" w:fill="D9D9D9" w:themeFill="background1" w:themeFillShade="D9"/>
          </w:tcPr>
          <w:p w14:paraId="09E5A7AD" w14:textId="77777777" w:rsidR="007224D6" w:rsidRPr="007F4CC8" w:rsidRDefault="007224D6" w:rsidP="004F3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Objašnjenje</w:t>
            </w:r>
          </w:p>
        </w:tc>
      </w:tr>
      <w:tr w:rsidR="007224D6" w:rsidRPr="007F4CC8" w14:paraId="0049F9A1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1EA4BF04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  <w:shd w:val="clear" w:color="auto" w:fill="auto"/>
          </w:tcPr>
          <w:p w14:paraId="3140C283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Ukupni nepodmireni nominalni iznos</w:t>
            </w:r>
          </w:p>
          <w:p w14:paraId="1C72EF10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Ukupni nepodmireni nominalni iznos izloženosti koje je sekuritizirala institucija (institucija djeluje kao inicijator ili sponzor), raščlanjen po vrsti sekurizitacijske izloženosti.</w:t>
            </w:r>
          </w:p>
        </w:tc>
      </w:tr>
      <w:tr w:rsidR="007224D6" w:rsidRPr="007F4CC8" w14:paraId="56FDA3F6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30FA4D89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  <w:shd w:val="clear" w:color="auto" w:fill="auto"/>
          </w:tcPr>
          <w:p w14:paraId="0D7D5585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Ukupni nepodmireni nominalni iznos – od čega izloženosti sa statusom neispunjavanja obveza</w:t>
            </w:r>
          </w:p>
          <w:p w14:paraId="1C467B87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Ukupni nepodmireni nominalni iznos </w:t>
            </w:r>
            <w:r>
              <w:rPr>
                <w:rFonts w:ascii="Times New Roman" w:hAnsi="Times New Roman"/>
                <w:sz w:val="24"/>
              </w:rPr>
              <w:t>izloženosti koje je sekuritizirala institucija (institucija djeluje kao inicijator ili sponzor)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, razvrstan kao „izloženosti u statusu neispunjavanja obveza” u skladu s člankom 178. CRR-a, </w:t>
            </w:r>
            <w:r>
              <w:rPr>
                <w:rFonts w:ascii="Times New Roman" w:hAnsi="Times New Roman"/>
                <w:sz w:val="24"/>
              </w:rPr>
              <w:t>raščlanjen po vrsti sekuritizacijske izloženosti.</w:t>
            </w:r>
          </w:p>
        </w:tc>
      </w:tr>
      <w:tr w:rsidR="007224D6" w:rsidRPr="007F4CC8" w14:paraId="54EAC503" w14:textId="77777777" w:rsidTr="004F3087">
        <w:trPr>
          <w:trHeight w:val="741"/>
        </w:trPr>
        <w:tc>
          <w:tcPr>
            <w:tcW w:w="1413" w:type="dxa"/>
            <w:shd w:val="clear" w:color="auto" w:fill="auto"/>
          </w:tcPr>
          <w:p w14:paraId="5B87FDDD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</w:t>
            </w:r>
          </w:p>
        </w:tc>
        <w:tc>
          <w:tcPr>
            <w:tcW w:w="7654" w:type="dxa"/>
            <w:shd w:val="clear" w:color="auto" w:fill="auto"/>
          </w:tcPr>
          <w:p w14:paraId="0B22FDE6" w14:textId="77777777" w:rsidR="007224D6" w:rsidRPr="007F4CC8" w:rsidRDefault="007224D6" w:rsidP="004F3087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Specifični ispravci vrijednosti za kreditni rizik provedeni u razdoblju</w:t>
            </w:r>
          </w:p>
          <w:p w14:paraId="587328A2" w14:textId="77777777" w:rsidR="007224D6" w:rsidRPr="007F4CC8" w:rsidRDefault="007224D6" w:rsidP="004F30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Iznos specifičnih ispravaka vrijednosti za kreditni rizik provedenih u razdoblju u skladu s člankom 110. CRR-a, za izloženosti koje je sekuritizirala institucija (institucija djeluje kao inicijator ili sponzor), raščlanjen po vrsti sekuritizacijske izloženosti.</w:t>
            </w:r>
          </w:p>
        </w:tc>
      </w:tr>
    </w:tbl>
    <w:p w14:paraId="4D94EF16" w14:textId="77777777" w:rsidR="007224D6" w:rsidRPr="007F4CC8" w:rsidRDefault="007224D6" w:rsidP="007224D6">
      <w:pPr>
        <w:rPr>
          <w:rFonts w:ascii="Times New Roman" w:hAnsi="Times New Roman" w:cs="Times New Roman"/>
          <w:sz w:val="24"/>
        </w:rPr>
      </w:pPr>
    </w:p>
    <w:p w14:paraId="65A50784" w14:textId="77777777" w:rsidR="00993FC2" w:rsidRDefault="00993FC2"/>
    <w:sectPr w:rsidR="00993FC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8351" w14:textId="77777777" w:rsidR="00287AC3" w:rsidRDefault="00287AC3" w:rsidP="007224D6">
      <w:r>
        <w:separator/>
      </w:r>
    </w:p>
  </w:endnote>
  <w:endnote w:type="continuationSeparator" w:id="0">
    <w:p w14:paraId="00EBEAC3" w14:textId="77777777" w:rsidR="00287AC3" w:rsidRDefault="00287AC3" w:rsidP="0072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34568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7AE68" w14:textId="77777777" w:rsidR="007224D6" w:rsidRDefault="007224D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1AFA96F0" w14:textId="77777777" w:rsidR="007224D6" w:rsidRDefault="00722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53FAF" w14:textId="77777777" w:rsidR="00287AC3" w:rsidRDefault="00287AC3" w:rsidP="007224D6">
      <w:r>
        <w:separator/>
      </w:r>
    </w:p>
  </w:footnote>
  <w:footnote w:type="continuationSeparator" w:id="0">
    <w:p w14:paraId="0C660BEB" w14:textId="77777777" w:rsidR="00287AC3" w:rsidRDefault="00287AC3" w:rsidP="007224D6">
      <w:r>
        <w:continuationSeparator/>
      </w:r>
    </w:p>
  </w:footnote>
  <w:footnote w:id="1">
    <w:p w14:paraId="57D39A2F" w14:textId="48E138D3" w:rsidR="007224D6" w:rsidRPr="00222AAB" w:rsidRDefault="007224D6" w:rsidP="007224D6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Uredba (EU) br. 575/2013 Europskog parlamenta i Vijeća od 26. lipnja 2013. o bonitetnim zahtjevima za kreditne institucije i o izmjeni Uredbe (EU) br. 648/2012, kako je izmijenjena Uredbom (EU) 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SL L 176, 27.6.2013., str. 1.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Uredba – EU – 2024/1623 – HR – EUR-Lex (europa.eu)</w:t>
        </w:r>
      </w:hyperlink>
      <w:r>
        <w:rPr>
          <w:color w:val="444444"/>
        </w:rPr>
        <w:t>)</w:t>
      </w:r>
      <w:r>
        <w:t>.</w:t>
      </w:r>
    </w:p>
  </w:footnote>
  <w:footnote w:id="2">
    <w:p w14:paraId="6BCED38A" w14:textId="77777777" w:rsidR="007224D6" w:rsidRPr="00222AAB" w:rsidRDefault="007224D6" w:rsidP="007224D6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UREDBA (EU) 2017/2402 EUROPSKOG PARLAMENTA I VIJEĆA od 12. prosinca 2017. o utvrđivanju općeg okvira za sekuritizaciju i o uspostavi specifičnog okvira za jednostavnu, transparentnu i standardiziranu sekuritizaciju te o izmjeni direktiva 2009/65/EZ, 2009/138/EZ i 2011/61/EU te uredaba (EZ) br. 1060/2009 i (EU) br. 648/2012 (SL L 347, 28.12.2017., str. 35.).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7A26" w14:textId="3746393D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C0EA763" wp14:editId="6FB0EBE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109160324" name="Text Box 2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1A2B52" w14:textId="4EFCCB52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C0EA7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dovita primjena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681A2B52" w14:textId="4EFCCB52" w:rsidR="007D0B06" w:rsidRPr="007D0B06" w:rsidRDefault="007D0B06" w:rsidP="007D0B0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D7E7" w14:textId="124A243B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5C9C83" wp14:editId="61CAC61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784573856" name="Text Box 3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A357A9" w14:textId="1666DE1E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15C9C8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dovita primjena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75A357A9" w14:textId="1666DE1E" w:rsidR="007D0B06" w:rsidRPr="007D0B06" w:rsidRDefault="007D0B06" w:rsidP="007D0B0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B0BBF" w14:textId="6FBDC6EC" w:rsidR="007D0B06" w:rsidRDefault="007D0B0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E85505B" wp14:editId="261233F5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523123220" name="Text Box 1" descr="EBA Redovita primjen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0E8708" w14:textId="705F20CF" w:rsidR="007D0B06" w:rsidRPr="007D0B06" w:rsidRDefault="007D0B06" w:rsidP="007D0B0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Redovita primjena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E8550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dovita primjena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480E8708" w14:textId="705F20CF" w:rsidR="007D0B06" w:rsidRPr="007D0B06" w:rsidRDefault="007D0B06" w:rsidP="007D0B06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primjena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320547">
    <w:abstractNumId w:val="0"/>
  </w:num>
  <w:num w:numId="2" w16cid:durableId="334648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48C2"/>
    <w:rsid w:val="00194BB2"/>
    <w:rsid w:val="00287AC3"/>
    <w:rsid w:val="005F48C2"/>
    <w:rsid w:val="007224D6"/>
    <w:rsid w:val="007D0B06"/>
    <w:rsid w:val="00993FC2"/>
    <w:rsid w:val="00A85970"/>
    <w:rsid w:val="00C63148"/>
    <w:rsid w:val="00D5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504FF"/>
  <w15:chartTrackingRefBased/>
  <w15:docId w15:val="{3A7F2E1F-46AC-45BD-B3FD-838190E9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4D6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7224D6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7224D6"/>
    <w:rPr>
      <w:rFonts w:eastAsiaTheme="minorEastAsia"/>
      <w:sz w:val="18"/>
      <w:szCs w:val="18"/>
      <w:lang w:val="hr-HR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7224D6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7224D6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7224D6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7224D6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7224D6"/>
    <w:pPr>
      <w:ind w:left="720"/>
    </w:pPr>
    <w:rPr>
      <w:rFonts w:ascii="Calibri" w:eastAsia="Calibri" w:hAnsi="Calibri" w:cs="Times New Roman"/>
      <w:szCs w:val="22"/>
    </w:rPr>
  </w:style>
  <w:style w:type="character" w:customStyle="1" w:styleId="InstructionsTabelleText">
    <w:name w:val="Instructions Tabelle Text"/>
    <w:rsid w:val="007224D6"/>
    <w:rPr>
      <w:rFonts w:ascii="Verdana" w:hAnsi="Verdana" w:cs="Times New Roman"/>
      <w:sz w:val="20"/>
    </w:rPr>
  </w:style>
  <w:style w:type="paragraph" w:styleId="Header">
    <w:name w:val="header"/>
    <w:basedOn w:val="Normal"/>
    <w:link w:val="HeaderChar"/>
    <w:uiPriority w:val="99"/>
    <w:unhideWhenUsed/>
    <w:rsid w:val="00722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4D6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722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4D6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HR/TXT/?uri=OJ:L_202401623" TargetMode="External"/><Relationship Id="rId1" Type="http://schemas.openxmlformats.org/officeDocument/2006/relationships/hyperlink" Target="https://eur-lex.europa.eu/legal-content/EN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E59322-B178-45FD-8AB5-AEE3D24AA16E}"/>
</file>

<file path=customXml/itemProps2.xml><?xml version="1.0" encoding="utf-8"?>
<ds:datastoreItem xmlns:ds="http://schemas.openxmlformats.org/officeDocument/2006/customXml" ds:itemID="{492303A9-8B23-4E4D-B34A-567C407B3815}"/>
</file>

<file path=customXml/itemProps3.xml><?xml version="1.0" encoding="utf-8"?>
<ds:datastoreItem xmlns:ds="http://schemas.openxmlformats.org/officeDocument/2006/customXml" ds:itemID="{58F7D0D3-82F4-4462-A015-F3A05380EED3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1997</Words>
  <Characters>11366</Characters>
  <Application>Microsoft Office Word</Application>
  <DocSecurity>0</DocSecurity>
  <Lines>277</Lines>
  <Paragraphs>153</Paragraphs>
  <ScaleCrop>false</ScaleCrop>
  <Company>European Banking Authority</Company>
  <LinksUpToDate>false</LinksUpToDate>
  <CharactersWithSpaces>13210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HEIDL Ana (DGT)</cp:lastModifiedBy>
  <cp:revision>6</cp:revision>
  <dcterms:created xsi:type="dcterms:W3CDTF">2021-03-11T13:29:00Z</dcterms:created>
  <dcterms:modified xsi:type="dcterms:W3CDTF">2024-10-04T14:53:00Z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5ac90414,421c7184,6a5e6fa0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2024-10-02T11:29:42Z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37016431-aa31-40b6-b837-c0d8c0fa0b47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